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4"/>
    <w:p>
      <w:pPr>
        <w:pStyle w:val="Heading1"/>
      </w:pPr>
      <w:r>
        <w:t xml:space="preserve">Homiletics Analysis: Isaiah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14 divides into three distinct but thematically unified oracles. The chapter opens (vv. 1–2) with a brief but sweeping promise of Israel’s restoration: the LORD will again choose Israel, settle them in their own land, and reverse the dynamic of captivity so that the nations who once enslaved them will serve them. This restoration prologue grounds everything that follows by establishing whose God is speaking and on whose behalf He acts.</w:t>
      </w:r>
    </w:p>
    <w:p>
      <w:pPr>
        <w:pStyle w:val="BodyText"/>
      </w:pPr>
      <w:r>
        <w:t xml:space="preserve">The bulk of the chapter (vv. 3–23) is the famous taunt-song (</w:t>
      </w:r>
      <w:r>
        <w:rPr>
          <w:i/>
          <w:iCs/>
        </w:rPr>
        <w:t xml:space="preserve">māšāl</w:t>
      </w:r>
      <w:r>
        <w:t xml:space="preserve">) against the king of Babylon — one of the most dramatic and literarily complex poems in the entire prophetic corpus. The passage moves through several vivid scenes: the earth at rest rejoicing over Babylon’s fall (vv. 7–8); the realm of the dead (</w:t>
      </w:r>
      <w:r>
        <w:rPr>
          <w:i/>
          <w:iCs/>
        </w:rPr>
        <w:t xml:space="preserve">Sheol</w:t>
      </w:r>
      <w:r>
        <w:t xml:space="preserve">) stirring as the once-great king arrives stripped of his power (vv. 9–11); the celebrated</w:t>
      </w:r>
      <w:r>
        <w:t xml:space="preserve"> </w:t>
      </w:r>
      <w:r>
        <w:t xml:space="preserve">“Helel ben Shachar”</w:t>
      </w:r>
      <w:r>
        <w:t xml:space="preserve"> </w:t>
      </w:r>
      <w:r>
        <w:t xml:space="preserve">stanza describing the king’s self-exalting ambition and catastrophic descent (vv. 12–15); a grotesque reversal in which onlookers peer at his unburied corpse in bewilderment (vv. 16–20); and finally, the divine decree of total, multigenerational annihilation of Babylon’s dynasty (vv. 21–23). The taunt-song is addressed to those who will one day take it up against Babylon, but its ultimate speaker — the one who authored the oracle — is the LORD of hosts (v. 22).</w:t>
      </w:r>
    </w:p>
    <w:p>
      <w:pPr>
        <w:pStyle w:val="BodyText"/>
      </w:pPr>
      <w:r>
        <w:t xml:space="preserve">The chapter closes with two shorter oracles: a declaration against Assyria (vv. 24–27), in which the LORD swears by Himself that He will break Assyria in His land, and a burden against Philistia (vv. 28–32), delivered in the year of King Ahaz’s death, warning Philistia not to rejoice prematurely over the death of the Israelite king who had oppressed them, because a more devastating threat is coming from the north — and the LORD’s people will find refuge in Zion.</w:t>
      </w:r>
    </w:p>
    <w:p>
      <w:pPr>
        <w:pStyle w:val="BodyText"/>
      </w:pPr>
      <w:r>
        <w:rPr>
          <w:b/>
          <w:bCs/>
        </w:rPr>
        <w:t xml:space="preserve">This Text — Intent:</w:t>
      </w:r>
    </w:p>
    <w:p>
      <w:pPr>
        <w:pStyle w:val="BodyText"/>
      </w:pPr>
      <w:r>
        <w:t xml:space="preserve">God is seeking to accomplish several interlocking effects through this chapter. First, He is calling a beleaguered, fearful people — Israel under threat of Babylonian and Assyrian dominion — to a settled confidence that the powers arrayed against them are not ultimate. The taunt-song is not simply political satire; it is a theological reorientation. What looks like invincible imperial power is, from the LORD’s vantage, a dead man in an unmarked grave. Second, through the Helel stanza in particular, God is exposing the root sin beneath imperial ambition: the creature’s attempt to ascend to the place of God, to remake the cosmos around the self. This is not just Babylon’s sin — it is the archetypal human sin. Third, the closing oracle on Philistia (vv. 28–32) grounds the people’s security not in political alliances or military strength but in Zion — in the LORD’s presence and purpose for His people. The poor and needy will take refuge there. The entire chapter thus moves from promise (vv. 1–2) to the unmasking of false power (vv. 3–23) to the declaration of the LORD’s sovereign control over every threatening nation (vv. 24–32), landing the reader in the only safe place: trust in the LORD alone.</w:t>
      </w:r>
    </w:p>
    <w:p>
      <w:r>
        <w:pict>
          <v:rect style="width:0;height:1.5pt" o:hralign="center" o:hrstd="t" o:hr="t"/>
        </w:pict>
      </w:r>
    </w:p>
    <w:p>
      <w:pPr>
        <w:pStyle w:val="FirstParagraph"/>
      </w:pPr>
      <w:r>
        <w:rPr>
          <w:b/>
          <w:bCs/>
        </w:rPr>
        <w:t xml:space="preserve">Subject Sentence:</w:t>
      </w:r>
      <w:r>
        <w:t xml:space="preserve"> </w:t>
      </w:r>
      <w:r>
        <w:t xml:space="preserve">The LORD sovereignty unmasks and destroys every power that exalts itself against Him and His people.</w:t>
      </w:r>
    </w:p>
    <w:p>
      <w:r>
        <w:pict>
          <v:rect style="width:0;height:1.5pt" o:hralign="center" o:hrstd="t" o:hr="t"/>
        </w:pict>
      </w:r>
    </w:p>
    <w:p>
      <w:pPr>
        <w:pStyle w:val="FirstParagraph"/>
      </w:pPr>
      <w:r>
        <w:rPr>
          <w:b/>
          <w:bCs/>
        </w:rPr>
        <w:t xml:space="preserve">Primary Claim:</w:t>
      </w:r>
      <w:r>
        <w:t xml:space="preserve"> </w:t>
      </w:r>
      <w:r>
        <w:t xml:space="preserve">God is assuring His people — and confronting every form of self-exalting pride — that the creature who attempts to seize the place of God will be brought low without exception, and that the LORD’s purposes for His people cannot be thwarted by any empire, ideology, or power. The appropriate response is not fear of the nations but settled trust in the God who holds history’s end in His hands.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Helel ben Shachar Stanza (vv. 12–15) — The</w:t>
      </w:r>
      <w:r>
        <w:rPr>
          <w:b/>
          <w:bCs/>
        </w:rPr>
        <w:t xml:space="preserve"> </w:t>
      </w:r>
      <w:r>
        <w:rPr>
          <w:b/>
          <w:bCs/>
        </w:rPr>
        <w:t xml:space="preserve">“Lucifer”</w:t>
      </w:r>
      <w:r>
        <w:rPr>
          <w:b/>
          <w:bCs/>
        </w:rPr>
        <w:t xml:space="preserve"> </w:t>
      </w:r>
      <w:r>
        <w:rPr>
          <w:b/>
          <w:bCs/>
        </w:rPr>
        <w:t xml:space="preserve">Question</w:t>
      </w:r>
    </w:p>
    <w:p>
      <w:pPr>
        <w:pStyle w:val="BodyText"/>
      </w:pPr>
      <w:r>
        <w:t xml:space="preserve">The most contested interpretive issue in this chapter is the identity of</w:t>
      </w:r>
      <w:r>
        <w:t xml:space="preserve"> </w:t>
      </w:r>
      <w:r>
        <w:t xml:space="preserve">“Helel ben Shachar”</w:t>
      </w:r>
      <w:r>
        <w:t xml:space="preserve"> </w:t>
      </w:r>
      <w:r>
        <w:t xml:space="preserve">(</w:t>
      </w:r>
      <w:r>
        <w:rPr>
          <w:i/>
          <w:iCs/>
        </w:rPr>
        <w:t xml:space="preserve">Day Star, Son of Dawn</w:t>
      </w:r>
      <w:r>
        <w:t xml:space="preserve">) in verse 12 and the scope of the taunt-song’s referent. The Vulgate’s translation of</w:t>
      </w:r>
      <w:r>
        <w:t xml:space="preserve"> </w:t>
      </w:r>
      <w:r>
        <w:rPr>
          <w:i/>
          <w:iCs/>
        </w:rPr>
        <w:t xml:space="preserve">helel</w:t>
      </w:r>
      <w:r>
        <w:t xml:space="preserve"> </w:t>
      </w:r>
      <w:r>
        <w:t xml:space="preserve">as</w:t>
      </w:r>
      <w:r>
        <w:t xml:space="preserve"> </w:t>
      </w:r>
      <w:r>
        <w:rPr>
          <w:i/>
          <w:iCs/>
        </w:rPr>
        <w:t xml:space="preserve">Lucifer</w:t>
      </w:r>
      <w:r>
        <w:t xml:space="preserve"> </w:t>
      </w:r>
      <w:r>
        <w:t xml:space="preserve">—</w:t>
      </w:r>
      <w:r>
        <w:t xml:space="preserve"> </w:t>
      </w:r>
      <w:r>
        <w:t xml:space="preserve">“light-bearer”</w:t>
      </w:r>
      <w:r>
        <w:t xml:space="preserve"> </w:t>
      </w:r>
      <w:r>
        <w:t xml:space="preserve">— generated a long interpretive tradition in which these verses describe Satan’s original fall from heaven. This reading was dominant in patristic and medieval exegesis and continues in some conservative evangelical and dispensational circles today. It receives apparent New Testament support from Luke 10:18 (</w:t>
      </w:r>
      <w:r>
        <w:t xml:space="preserve">“I saw Satan fall like lightning from heaven”</w:t>
      </w:r>
      <w:r>
        <w:t xml:space="preserve">) and Revelation 12:7–9.</w:t>
      </w:r>
    </w:p>
    <w:p>
      <w:pPr>
        <w:pStyle w:val="BodyText"/>
      </w:pPr>
      <w:r>
        <w:t xml:space="preserve">The Reformed reading, following the grammatical-historical method, evaluates this tradition carefully and reaches a different conclusion — while acknowledging what the tradition correctly perceived. The poem is explicitly addressed to</w:t>
      </w:r>
      <w:r>
        <w:t xml:space="preserve"> </w:t>
      </w:r>
      <w:r>
        <w:t xml:space="preserve">“the king of Babylon”</w:t>
      </w:r>
      <w:r>
        <w:t xml:space="preserve"> </w:t>
      </w:r>
      <w:r>
        <w:t xml:space="preserve">(v. 4). Its context is not pre-temporal angelic rebellion but the historical downfall of a specific human tyrant whose hubris reached cosmic proportions. The imagery of ascending to the heavens, exalting a throne above the stars, and making oneself like the Most High (vv. 13–14) is hyperbolic royal language well-attested in ancient Near Eastern context — the vocabulary of imperial self-deification common to Mesopotamian kingship ideology. The description of the king descending to</w:t>
      </w:r>
      <w:r>
        <w:t xml:space="preserve"> </w:t>
      </w:r>
      <w:r>
        <w:rPr>
          <w:i/>
          <w:iCs/>
        </w:rPr>
        <w:t xml:space="preserve">Sheol</w:t>
      </w:r>
      <w:r>
        <w:t xml:space="preserve">, being gazed at in his weakness, and receiving no burial (vv. 15–20) is entirely consistent with a human king’s fate, not a spiritual being’s.</w:t>
      </w:r>
    </w:p>
    <w:p>
      <w:pPr>
        <w:pStyle w:val="BodyText"/>
      </w:pPr>
      <w:r>
        <w:rPr>
          <w:b/>
          <w:bCs/>
        </w:rPr>
        <w:t xml:space="preserve">Evaluate</w:t>
      </w:r>
      <w:r>
        <w:t xml:space="preserve">: The Satanic application tradition should be</w:t>
      </w:r>
      <w:r>
        <w:t xml:space="preserve"> </w:t>
      </w:r>
      <w:r>
        <w:rPr>
          <w:i/>
          <w:iCs/>
        </w:rPr>
        <w:t xml:space="preserve">qualified</w:t>
      </w:r>
      <w:r>
        <w:t xml:space="preserve">, not fully refuted. What the tradition correctly perceives is that the king of Babylon is presented as an instance — perhaps the definitive OT instance — of the archetypal pattern of creaturely self-exaltation against God. The language is drawn to cosmic scale precisely because that is how Babylonian kingship understood itself. Jesus’ allusion in Luke 10:18 is not a citation of Isaiah 14 as a proof-text for Satan’s fall; it is a typological use of the imagery — the proud who claim divine heights will be brought to the dust. The reformational principle governs: the passage is about the king of Babylon; it resonates typologically with every form of anti-God pride, including the devil’s. The Satanic interpretation over-reads the historical oracle while under-reading its typological force.</w:t>
      </w:r>
    </w:p>
    <w:p>
      <w:pPr>
        <w:pStyle w:val="BodyText"/>
      </w:pPr>
      <w:r>
        <w:rPr>
          <w:b/>
          <w:bCs/>
        </w:rPr>
        <w:t xml:space="preserve">The Dispensational Reading</w:t>
      </w:r>
    </w:p>
    <w:p>
      <w:pPr>
        <w:pStyle w:val="BodyText"/>
      </w:pPr>
      <w:r>
        <w:t xml:space="preserve">Dispensational interpreters sometimes separate the Israel restoration in vv. 1–2 from the taunt-song that follows, reading vv. 1–2 as exclusively eschatological (millennial restoration) and the taunt-song as having a second, future Babylon fulfillment (Revelation 17–18). This reading has the virtue of taking biblical prophecy’s large-scale fulfillment seriously. However, it introduces a division between the restoration promise and the taunt-song that the text itself does not make — the כִּי (</w:t>
      </w:r>
      <w:r>
        <w:rPr>
          <w:i/>
          <w:iCs/>
        </w:rPr>
        <w:t xml:space="preserve">kî</w:t>
      </w:r>
      <w:r>
        <w:t xml:space="preserve">,</w:t>
      </w:r>
      <w:r>
        <w:t xml:space="preserve"> </w:t>
      </w:r>
      <w:r>
        <w:t xml:space="preserve">“for/when”</w:t>
      </w:r>
      <w:r>
        <w:t xml:space="preserve">) in verse 3 connects them syntactically. The point of the taunt-song is precisely that Israel’s restoration involves the collapse of the oppressor — these are not separate oracles requiring separate fulfillment timelines. The Reformed reading allows for both historical reference (Neo-Babylonian empire) and typological resonance (every anti-God empire, including eschatological Babylon in Revelation) without requiring a strict dispensational bifurcation.</w:t>
      </w:r>
    </w:p>
    <w:p>
      <w:pPr>
        <w:pStyle w:val="BodyText"/>
      </w:pPr>
      <w:r>
        <w:rPr>
          <w:b/>
          <w:bCs/>
        </w:rPr>
        <w:t xml:space="preserve">The Assyria Oracle (vv. 24–27)</w:t>
      </w:r>
    </w:p>
    <w:p>
      <w:pPr>
        <w:pStyle w:val="BodyText"/>
      </w:pPr>
      <w:r>
        <w:t xml:space="preserve">Some interpreters treat the Assyria oracle as a disconnected appendix. The Reformed reading recognizes its structural function: it demonstrates the LORD’s sovereign pattern — the principle that He announced in the taunt-song against Babylon (the proud will be broken) applies also to Assyria, the more immediate threat in Isaiah’s own day. This is not a different theological claim but the same claim applied across the chapter’s historical horizon. Verse 27 —</w:t>
      </w:r>
      <w:r>
        <w:t xml:space="preserve"> </w:t>
      </w:r>
      <w:r>
        <w:t xml:space="preserve">“For the LORD of hosts has purposed, and who will annul it? His hand is stretched out, and who will turn it back?”</w:t>
      </w:r>
      <w:r>
        <w:t xml:space="preserve"> </w:t>
      </w:r>
      <w:r>
        <w:t xml:space="preserve">— is the theological linchpin of the entire chapter, summarizing what both major oracles have been demonstrating.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11:1–9 (Tower of Babel)</w:t>
      </w:r>
      <w:r>
        <w:t xml:space="preserve"> </w:t>
      </w:r>
      <w:r>
        <w:t xml:space="preserve">— The primordial instance of the same creaturely hubris: humanity building upward to</w:t>
      </w:r>
      <w:r>
        <w:t xml:space="preserve"> </w:t>
      </w:r>
      <w:r>
        <w:t xml:space="preserve">“make a name for ourselves”</w:t>
      </w:r>
      <w:r>
        <w:t xml:space="preserve"> </w:t>
      </w:r>
      <w:r>
        <w:t xml:space="preserve">and reach the heavens. The LORD’s response is decisive and humiliating. Isaiah 14 is Babel applied to its imperial inheritors — Babylon is not an accident of history but the institutionalization of Babel’s spirit.</w:t>
      </w:r>
    </w:p>
    <w:p>
      <w:pPr>
        <w:numPr>
          <w:ilvl w:val="0"/>
          <w:numId w:val="1001"/>
        </w:numPr>
      </w:pPr>
      <w:r>
        <w:rPr>
          <w:b/>
          <w:bCs/>
        </w:rPr>
        <w:t xml:space="preserve">Ezekiel 28:1–19 (Oracle against the Prince of Tyre)</w:t>
      </w:r>
      <w:r>
        <w:t xml:space="preserve"> </w:t>
      </w:r>
      <w:r>
        <w:t xml:space="preserve">— The closest literary parallel to Isaiah 14’s taunt-song: another royal figure described in cosmic, quasi-divine terms (</w:t>
      </w:r>
      <w:r>
        <w:t xml:space="preserve">“you were in Eden,”</w:t>
      </w:r>
      <w:r>
        <w:t xml:space="preserve"> </w:t>
      </w:r>
      <w:r>
        <w:t xml:space="preserve">“you were the anointed cherub”</w:t>
      </w:r>
      <w:r>
        <w:t xml:space="preserve">) brought low by the very pride that exalted him. Together Isaiah 14 and Ezekiel 28 form the canonical corpus on the theological anatomy of imperial self-deification.</w:t>
      </w:r>
    </w:p>
    <w:p>
      <w:pPr>
        <w:numPr>
          <w:ilvl w:val="0"/>
          <w:numId w:val="1001"/>
        </w:numPr>
      </w:pPr>
      <w:r>
        <w:rPr>
          <w:b/>
          <w:bCs/>
        </w:rPr>
        <w:t xml:space="preserve">Daniel 4:28–37 (Nebuchadnezzar’s humiliation)</w:t>
      </w:r>
      <w:r>
        <w:t xml:space="preserve"> </w:t>
      </w:r>
      <w:r>
        <w:t xml:space="preserve">— The narrative fulfillment of what Isaiah 14 announces as oracle: the greatest king in the ancient world, who walked through his palace saying</w:t>
      </w:r>
      <w:r>
        <w:t xml:space="preserve"> </w:t>
      </w:r>
      <w:r>
        <w:t xml:space="preserve">“Is not this great Babylon, which I have built?”</w:t>
      </w:r>
      <w:r>
        <w:t xml:space="preserve"> </w:t>
      </w:r>
      <w:r>
        <w:t xml:space="preserve">(v. 30), stripped of reason and driven to eat grass until he acknowledged that</w:t>
      </w:r>
      <w:r>
        <w:t xml:space="preserve"> </w:t>
      </w:r>
      <w:r>
        <w:t xml:space="preserve">“the Most High rules the kingdom of men and gives it to whom he will”</w:t>
      </w:r>
      <w:r>
        <w:t xml:space="preserve"> </w:t>
      </w:r>
      <w:r>
        <w:t xml:space="preserve">(v. 32). The restoration in Daniel 4 is instructive — even judgment on pride can become a pathway to acknowledgment of the LORD.</w:t>
      </w:r>
    </w:p>
    <w:p>
      <w:pPr>
        <w:numPr>
          <w:ilvl w:val="0"/>
          <w:numId w:val="1001"/>
        </w:numPr>
      </w:pPr>
      <w:r>
        <w:rPr>
          <w:b/>
          <w:bCs/>
        </w:rPr>
        <w:t xml:space="preserve">Luke 10:17–18 (</w:t>
      </w:r>
      <w:r>
        <w:rPr>
          <w:b/>
          <w:bCs/>
        </w:rPr>
        <w:t xml:space="preserve">“I saw Satan fall like lightning”</w:t>
      </w:r>
      <w:r>
        <w:rPr>
          <w:b/>
          <w:bCs/>
        </w:rPr>
        <w:t xml:space="preserve">)</w:t>
      </w:r>
      <w:r>
        <w:t xml:space="preserve"> </w:t>
      </w:r>
      <w:r>
        <w:t xml:space="preserve">— Jesus deploys the imagery of Isaiah 14 typologically: the authority He has given His disciples to overcome demonic power is the eruption of the same sovereign defeat of creaturely pride that Isaiah 14 announces. The eschatological dimension of the chapter’s claim comes into focus here.</w:t>
      </w:r>
    </w:p>
    <w:p>
      <w:pPr>
        <w:numPr>
          <w:ilvl w:val="0"/>
          <w:numId w:val="1001"/>
        </w:numPr>
      </w:pPr>
      <w:r>
        <w:rPr>
          <w:b/>
          <w:bCs/>
        </w:rPr>
        <w:t xml:space="preserve">Revelation 18:1–8 (The fall of Babylon)</w:t>
      </w:r>
      <w:r>
        <w:t xml:space="preserve"> </w:t>
      </w:r>
      <w:r>
        <w:t xml:space="preserve">— The eschatological fulfillment of Isaiah 14’s pattern:</w:t>
      </w:r>
      <w:r>
        <w:t xml:space="preserve"> </w:t>
      </w:r>
      <w:r>
        <w:t xml:space="preserve">“Fallen, fallen is Babylon the great!”</w:t>
      </w:r>
      <w:r>
        <w:t xml:space="preserve"> </w:t>
      </w:r>
      <w:r>
        <w:t xml:space="preserve">The lament of merchants and kings over a great commercial-political power reduced to silence echoes the taunt-song’s reversal of fortunes. Revelation confirms that Isaiah 14 is not exhausted by its sixth-century historical referent but is a template for how the LORD deals with every anti-God empire until the end.</w:t>
      </w:r>
    </w:p>
    <w:p>
      <w:r>
        <w:pict>
          <v:rect style="width:0;height:1.5pt" o:hralign="center" o:hrstd="t" o:hr="t"/>
        </w:pict>
      </w:r>
    </w:p>
    <w:p>
      <w:pPr>
        <w:pStyle w:val="FirstParagraph"/>
      </w:pPr>
      <w:r>
        <w:rPr>
          <w:b/>
          <w:bCs/>
        </w:rPr>
        <w:t xml:space="preserve">Aim:</w:t>
      </w:r>
      <w:r>
        <w:t xml:space="preserve"> </w:t>
      </w:r>
      <w:r>
        <w:t xml:space="preserve">To demonstrate that the LORD’s sovereign defeat of every self-exalting power is not merely ancient history but the structuring principle of all of history — and to ground the reader’s confidence and security in that God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will have compassion on Jacob; He will again choose Israel and settle them in their land. Foreigners will join them. The nations will serve Israel — a reversal of captivity.</w:t>
            </w:r>
          </w:p>
        </w:tc>
        <w:tc>
          <w:tcPr/>
          <w:p>
            <w:pPr>
              <w:pStyle w:val="Compact"/>
            </w:pPr>
            <w:r>
              <w:t xml:space="preserve">Restoration prologue; establishes the covenant ground on which the taunt-song is delivered. The כִּי in v. 3 connects this promise to what follows.</w:t>
            </w:r>
          </w:p>
        </w:tc>
      </w:tr>
      <w:tr>
        <w:tc>
          <w:tcPr/>
          <w:p>
            <w:pPr>
              <w:pStyle w:val="Compact"/>
            </w:pPr>
            <w:r>
              <w:t xml:space="preserve">3</w:t>
            </w:r>
          </w:p>
        </w:tc>
        <w:tc>
          <w:tcPr/>
          <w:p>
            <w:pPr>
              <w:pStyle w:val="Compact"/>
            </w:pPr>
            <w:r>
              <w:t xml:space="preserve">“In the day the LORD gives you rest from your pain and turmoil and the hard service with which you were made to serve…”</w:t>
            </w:r>
            <w:r>
              <w:t xml:space="preserve"> </w:t>
            </w:r>
            <w:r>
              <w:t xml:space="preserve">— the taunt-song is introduced as something Israel will</w:t>
            </w:r>
            <w:r>
              <w:t xml:space="preserve"> </w:t>
            </w:r>
            <w:r>
              <w:rPr>
                <w:i/>
                <w:iCs/>
              </w:rPr>
              <w:t xml:space="preserve">take up</w:t>
            </w:r>
            <w:r>
              <w:t xml:space="preserve"> </w:t>
            </w:r>
            <w:r>
              <w:t xml:space="preserve">on that day.</w:t>
            </w:r>
          </w:p>
        </w:tc>
        <w:tc>
          <w:tcPr/>
          <w:p>
            <w:pPr>
              <w:pStyle w:val="Compact"/>
            </w:pPr>
            <w:r>
              <w:t xml:space="preserve">The taunt-song is prospective: Israel will speak it. Its delivery is itself a sign of their liberation.</w:t>
            </w:r>
          </w:p>
        </w:tc>
      </w:tr>
      <w:tr>
        <w:tc>
          <w:tcPr/>
          <w:p>
            <w:pPr>
              <w:pStyle w:val="Compact"/>
            </w:pPr>
            <w:r>
              <w:t xml:space="preserve">4</w:t>
            </w:r>
          </w:p>
        </w:tc>
        <w:tc>
          <w:tcPr/>
          <w:p>
            <w:pPr>
              <w:pStyle w:val="Compact"/>
            </w:pPr>
            <w:r>
              <w:t xml:space="preserve">“You will take up this taunt (</w:t>
            </w:r>
            <w:r>
              <w:rPr>
                <w:i/>
                <w:iCs/>
              </w:rPr>
              <w:t xml:space="preserve">māšāl</w:t>
            </w:r>
            <w:r>
              <w:t xml:space="preserve">) against the king of Babylon.”</w:t>
            </w:r>
            <w:r>
              <w:t xml:space="preserve"> </w:t>
            </w:r>
            <w:r>
              <w:t xml:space="preserve">The oracle is explicitly addressed to a human king.</w:t>
            </w:r>
          </w:p>
        </w:tc>
        <w:tc>
          <w:tcPr/>
          <w:p>
            <w:pPr>
              <w:pStyle w:val="Compact"/>
            </w:pPr>
            <w:r>
              <w:rPr>
                <w:i/>
                <w:iCs/>
              </w:rPr>
              <w:t xml:space="preserve">Māšāl</w:t>
            </w:r>
            <w:r>
              <w:t xml:space="preserve"> </w:t>
            </w:r>
            <w:r>
              <w:t xml:space="preserve">= taunt, proverb, byword. The form itself is shaming — to be the subject of a proverb is to be reduced to an example.</w:t>
            </w:r>
          </w:p>
        </w:tc>
      </w:tr>
      <w:tr>
        <w:tc>
          <w:tcPr/>
          <w:p>
            <w:pPr>
              <w:pStyle w:val="Compact"/>
            </w:pPr>
            <w:r>
              <w:t xml:space="preserve">5–6</w:t>
            </w:r>
          </w:p>
        </w:tc>
        <w:tc>
          <w:tcPr/>
          <w:p>
            <w:pPr>
              <w:pStyle w:val="Compact"/>
            </w:pPr>
            <w:r>
              <w:t xml:space="preserve">The LORD has broken the staff and scepter of rulers — Babylon’s rod of oppression is ended. The nations were struck in unceasing anger.</w:t>
            </w:r>
          </w:p>
        </w:tc>
        <w:tc>
          <w:tcPr/>
          <w:p>
            <w:pPr>
              <w:pStyle w:val="Compact"/>
            </w:pPr>
            <w:r>
              <w:t xml:space="preserve">Past tense of prophetic certainty — the LORD’s action is so certain it is described as already accomplished.</w:t>
            </w:r>
          </w:p>
        </w:tc>
      </w:tr>
      <w:tr>
        <w:tc>
          <w:tcPr/>
          <w:p>
            <w:pPr>
              <w:pStyle w:val="Compact"/>
            </w:pPr>
            <w:r>
              <w:t xml:space="preserve">7–8</w:t>
            </w:r>
          </w:p>
        </w:tc>
        <w:tc>
          <w:tcPr/>
          <w:p>
            <w:pPr>
              <w:pStyle w:val="Compact"/>
            </w:pPr>
            <w:r>
              <w:t xml:space="preserve">The whole earth is at rest and quiet; it breaks into singing. The cypress trees and cedars of Lebanon rejoice because the feller has fallen.</w:t>
            </w:r>
          </w:p>
        </w:tc>
        <w:tc>
          <w:tcPr/>
          <w:p>
            <w:pPr>
              <w:pStyle w:val="Compact"/>
            </w:pPr>
            <w:r>
              <w:t xml:space="preserve">The natural world participates in the cosmic relief of the tyrant’s end.</w:t>
            </w:r>
          </w:p>
        </w:tc>
      </w:tr>
      <w:tr>
        <w:tc>
          <w:tcPr/>
          <w:p>
            <w:pPr>
              <w:pStyle w:val="Compact"/>
            </w:pPr>
            <w:r>
              <w:t xml:space="preserve">9–11</w:t>
            </w:r>
          </w:p>
        </w:tc>
        <w:tc>
          <w:tcPr/>
          <w:p>
            <w:pPr>
              <w:pStyle w:val="Compact"/>
            </w:pPr>
            <w:r>
              <w:rPr>
                <w:i/>
                <w:iCs/>
              </w:rPr>
              <w:t xml:space="preserve">Sheol</w:t>
            </w:r>
            <w:r>
              <w:t xml:space="preserve"> </w:t>
            </w:r>
            <w:r>
              <w:t xml:space="preserve">is stirred; the shades of former kings rise to greet the arriving Babylonian king — he too has become as weak as they. His pomp and the music of his harps are brought down. Maggots cover him.</w:t>
            </w:r>
          </w:p>
        </w:tc>
        <w:tc>
          <w:tcPr/>
          <w:p>
            <w:pPr>
              <w:pStyle w:val="Compact"/>
            </w:pPr>
            <w:r>
              <w:t xml:space="preserve">The underworld scene. The arrival of the</w:t>
            </w:r>
            <w:r>
              <w:t xml:space="preserve"> </w:t>
            </w:r>
            <w:r>
              <w:t xml:space="preserve">“great king”</w:t>
            </w:r>
            <w:r>
              <w:t xml:space="preserve"> </w:t>
            </w:r>
            <w:r>
              <w:t xml:space="preserve">in</w:t>
            </w:r>
            <w:r>
              <w:t xml:space="preserve"> </w:t>
            </w:r>
            <w:r>
              <w:rPr>
                <w:i/>
                <w:iCs/>
              </w:rPr>
              <w:t xml:space="preserve">Sheol</w:t>
            </w:r>
            <w:r>
              <w:t xml:space="preserve"> </w:t>
            </w:r>
            <w:r>
              <w:t xml:space="preserve">triggers sarcastic greeting from those he joins. The reversal is total: from the pinnacle of earthly power to the company of corpses.</w:t>
            </w:r>
          </w:p>
        </w:tc>
      </w:tr>
      <w:tr>
        <w:tc>
          <w:tcPr/>
          <w:p>
            <w:pPr>
              <w:pStyle w:val="Compact"/>
            </w:pPr>
            <w:r>
              <w:t xml:space="preserve">12–15</w:t>
            </w:r>
          </w:p>
        </w:tc>
        <w:tc>
          <w:tcPr/>
          <w:p>
            <w:pPr>
              <w:pStyle w:val="Compact"/>
            </w:pPr>
            <w:r>
              <w:t xml:space="preserve">“How you have fallen from heaven, O Day Star, Son of Dawn!”</w:t>
            </w:r>
            <w:r>
              <w:t xml:space="preserve"> </w:t>
            </w:r>
            <w:r>
              <w:t xml:space="preserve">The king’s five-fold ambition is catalogued: (1) ascend to heaven; (2) exalt throne above stars of God; (3) sit on the mount of assembly; (4) ascend above the heights of the clouds; (5) make myself like the Most High. He is brought down to</w:t>
            </w:r>
            <w:r>
              <w:t xml:space="preserve"> </w:t>
            </w:r>
            <w:r>
              <w:rPr>
                <w:i/>
                <w:iCs/>
              </w:rPr>
              <w:t xml:space="preserve">Sheol</w:t>
            </w:r>
            <w:r>
              <w:t xml:space="preserve">, to the far reaches of the pit.</w:t>
            </w:r>
          </w:p>
        </w:tc>
        <w:tc>
          <w:tcPr/>
          <w:p>
            <w:pPr>
              <w:pStyle w:val="Compact"/>
            </w:pPr>
            <w:r>
              <w:t xml:space="preserve">The theological heart of the taunt-song. Five</w:t>
            </w:r>
            <w:r>
              <w:t xml:space="preserve"> </w:t>
            </w:r>
            <w:r>
              <w:t xml:space="preserve">“I will”</w:t>
            </w:r>
            <w:r>
              <w:t xml:space="preserve"> </w:t>
            </w:r>
            <w:r>
              <w:t xml:space="preserve">statements mirror Genesis 3 (</w:t>
            </w:r>
            <w:r>
              <w:t xml:space="preserve">“you will be like God”</w:t>
            </w:r>
            <w:r>
              <w:t xml:space="preserve">). The ascent/descent reversal is the theological axis of the entire chapter.</w:t>
            </w:r>
          </w:p>
        </w:tc>
      </w:tr>
      <w:tr>
        <w:tc>
          <w:tcPr/>
          <w:p>
            <w:pPr>
              <w:pStyle w:val="Compact"/>
            </w:pPr>
            <w:r>
              <w:t xml:space="preserve">16–17</w:t>
            </w:r>
          </w:p>
        </w:tc>
        <w:tc>
          <w:tcPr/>
          <w:p>
            <w:pPr>
              <w:pStyle w:val="Compact"/>
            </w:pPr>
            <w:r>
              <w:t xml:space="preserve">Those who see him stare and ponder:</w:t>
            </w:r>
            <w:r>
              <w:t xml:space="preserve"> </w:t>
            </w:r>
            <w:r>
              <w:t xml:space="preserve">“Is this the man who made the earth tremble, who shook kingdoms, who made the world like a desert and overthrew its cities?”</w:t>
            </w:r>
          </w:p>
        </w:tc>
        <w:tc>
          <w:tcPr/>
          <w:p>
            <w:pPr>
              <w:pStyle w:val="Compact"/>
            </w:pPr>
            <w:r>
              <w:t xml:space="preserve">The bewilderment of onlookers — the contrast between the power he wielded and the thing he has become is incomprehensible to the human eye.</w:t>
            </w:r>
          </w:p>
        </w:tc>
      </w:tr>
      <w:tr>
        <w:tc>
          <w:tcPr/>
          <w:p>
            <w:pPr>
              <w:pStyle w:val="Compact"/>
            </w:pPr>
            <w:r>
              <w:t xml:space="preserve">18–20</w:t>
            </w:r>
          </w:p>
        </w:tc>
        <w:tc>
          <w:tcPr/>
          <w:p>
            <w:pPr>
              <w:pStyle w:val="Compact"/>
            </w:pPr>
            <w:r>
              <w:t xml:space="preserve">All other kings lie in glory, each in his own tomb — but this king has no burial. He is cast out, covered with the slain, a trampled corpse. He will not be joined with them in burial because he destroyed his own land and slew his people.</w:t>
            </w:r>
          </w:p>
        </w:tc>
        <w:tc>
          <w:tcPr/>
          <w:p>
            <w:pPr>
              <w:pStyle w:val="Compact"/>
            </w:pPr>
            <w:r>
              <w:t xml:space="preserve">Lack of burial was the ultimate ancient Near Eastern shame — the denial of honorable rest. The judgment matches the crime: he denied dignity to others; he receives none.</w:t>
            </w:r>
          </w:p>
        </w:tc>
      </w:tr>
      <w:tr>
        <w:tc>
          <w:tcPr/>
          <w:p>
            <w:pPr>
              <w:pStyle w:val="Compact"/>
            </w:pPr>
            <w:r>
              <w:t xml:space="preserve">21</w:t>
            </w:r>
          </w:p>
        </w:tc>
        <w:tc>
          <w:tcPr/>
          <w:p>
            <w:pPr>
              <w:pStyle w:val="Compact"/>
            </w:pPr>
            <w:r>
              <w:t xml:space="preserve">A command: prepare slaughter for his sons because of the iniquity of their fathers. They must not rise to possess the earth and fill the face of the world with cities.</w:t>
            </w:r>
          </w:p>
        </w:tc>
        <w:tc>
          <w:tcPr/>
          <w:p>
            <w:pPr>
              <w:pStyle w:val="Compact"/>
            </w:pPr>
            <w:r>
              <w:t xml:space="preserve">Dynastic annihilation — the judgment extends to successors. Not personal vengeance but covenantal justice: the dynasty that institutionalized anti-God empire must end.</w:t>
            </w:r>
          </w:p>
        </w:tc>
      </w:tr>
      <w:tr>
        <w:tc>
          <w:tcPr/>
          <w:p>
            <w:pPr>
              <w:pStyle w:val="Compact"/>
            </w:pPr>
            <w:r>
              <w:t xml:space="preserve">22–23</w:t>
            </w:r>
          </w:p>
        </w:tc>
        <w:tc>
          <w:tcPr/>
          <w:p>
            <w:pPr>
              <w:pStyle w:val="Compact"/>
            </w:pPr>
            <w:r>
              <w:t xml:space="preserve">The LORD of hosts declares:</w:t>
            </w:r>
            <w:r>
              <w:t xml:space="preserve"> </w:t>
            </w:r>
            <w:r>
              <w:t xml:space="preserve">“I will rise against them and cut off from Babylon name and remnant, offspring and posterity.”</w:t>
            </w:r>
            <w:r>
              <w:t xml:space="preserve"> </w:t>
            </w:r>
            <w:r>
              <w:t xml:space="preserve">He will make it a possession of the hedgehog and pools of water, and will sweep it with the broom of destruction.</w:t>
            </w:r>
          </w:p>
        </w:tc>
        <w:tc>
          <w:tcPr/>
          <w:p>
            <w:pPr>
              <w:pStyle w:val="Compact"/>
            </w:pPr>
            <w:r>
              <w:t xml:space="preserve">The divine speaker identifies Himself and pronounces the final decree. The LORD of hosts — commander of heavenly armies — is the one who has authored this entire oracle.</w:t>
            </w:r>
          </w:p>
        </w:tc>
      </w:tr>
      <w:tr>
        <w:tc>
          <w:tcPr/>
          <w:p>
            <w:pPr>
              <w:pStyle w:val="Compact"/>
            </w:pPr>
            <w:r>
              <w:t xml:space="preserve">24–27</w:t>
            </w:r>
          </w:p>
        </w:tc>
        <w:tc>
          <w:tcPr/>
          <w:p>
            <w:pPr>
              <w:pStyle w:val="Compact"/>
            </w:pPr>
            <w:r>
              <w:t xml:space="preserve">The LORD swears:</w:t>
            </w:r>
            <w:r>
              <w:t xml:space="preserve"> </w:t>
            </w:r>
            <w:r>
              <w:t xml:space="preserve">“As I have planned, so shall it be, and as I have purposed, so shall it stand: to break Assyria in my land.”</w:t>
            </w:r>
            <w:r>
              <w:t xml:space="preserve"> </w:t>
            </w:r>
            <w:r>
              <w:t xml:space="preserve">The plan against the whole earth; the hand stretched out over all nations. Who can annul it? Who can turn it back?</w:t>
            </w:r>
          </w:p>
        </w:tc>
        <w:tc>
          <w:tcPr/>
          <w:p>
            <w:pPr>
              <w:pStyle w:val="Compact"/>
            </w:pPr>
            <w:r>
              <w:t xml:space="preserve">The Assyria oracle. Verse 27 is the theological summary of the entire chapter — the LORD’s purpose is irresistible. This applies to Babylon and Assyria alike, and by extension to every opposing power.</w:t>
            </w:r>
          </w:p>
        </w:tc>
      </w:tr>
      <w:tr>
        <w:tc>
          <w:tcPr/>
          <w:p>
            <w:pPr>
              <w:pStyle w:val="Compact"/>
            </w:pPr>
            <w:r>
              <w:t xml:space="preserve">28</w:t>
            </w:r>
          </w:p>
        </w:tc>
        <w:tc>
          <w:tcPr/>
          <w:p>
            <w:pPr>
              <w:pStyle w:val="Compact"/>
            </w:pPr>
            <w:r>
              <w:t xml:space="preserve">This burden came in the year King Ahaz died.</w:t>
            </w:r>
          </w:p>
        </w:tc>
        <w:tc>
          <w:tcPr/>
          <w:p>
            <w:pPr>
              <w:pStyle w:val="Compact"/>
            </w:pPr>
            <w:r>
              <w:t xml:space="preserve">Historical marker — grounds the Philistia oracle in a specific moment of political transition.</w:t>
            </w:r>
          </w:p>
        </w:tc>
      </w:tr>
      <w:tr>
        <w:tc>
          <w:tcPr/>
          <w:p>
            <w:pPr>
              <w:pStyle w:val="Compact"/>
            </w:pPr>
            <w:r>
              <w:t xml:space="preserve">29–30</w:t>
            </w:r>
          </w:p>
        </w:tc>
        <w:tc>
          <w:tcPr/>
          <w:p>
            <w:pPr>
              <w:pStyle w:val="Compact"/>
            </w:pPr>
            <w:r>
              <w:t xml:space="preserve">Warning to Philistia: do not rejoice that the rod which struck you is broken. A more deadly serpent is coming. The firstborn of the poor will graze; the needy will lie down safely. But Philistia’s root will be killed by famine; its remnant will be slain.</w:t>
            </w:r>
          </w:p>
        </w:tc>
        <w:tc>
          <w:tcPr/>
          <w:p>
            <w:pPr>
              <w:pStyle w:val="Compact"/>
            </w:pPr>
            <w:r>
              <w:t xml:space="preserve">The rod = the Israelite king who had harassed Philistia (possibly Uzziah or Tiglath-Pileser). The more deadly serpent = either the Assyrian threat or the coming Davidic king. The reversal: Philistia’s rejoicing is premature; God’s poor will be safe while Philistia is destroyed.</w:t>
            </w:r>
          </w:p>
        </w:tc>
      </w:tr>
      <w:tr>
        <w:tc>
          <w:tcPr/>
          <w:p>
            <w:pPr>
              <w:pStyle w:val="Compact"/>
            </w:pPr>
            <w:r>
              <w:t xml:space="preserve">31–32</w:t>
            </w:r>
          </w:p>
        </w:tc>
        <w:tc>
          <w:tcPr/>
          <w:p>
            <w:pPr>
              <w:pStyle w:val="Compact"/>
            </w:pPr>
            <w:r>
              <w:t xml:space="preserve">Cry out, gates of Philistia — smoke comes from the north. What will be answered to the messengers of the nation? That the LORD has founded Zion, and in her the afflicted of His people find refuge.</w:t>
            </w:r>
          </w:p>
        </w:tc>
        <w:tc>
          <w:tcPr/>
          <w:p>
            <w:pPr>
              <w:pStyle w:val="Compact"/>
            </w:pPr>
            <w:r>
              <w:t xml:space="preserve">The chapter’s concluding word: Zion as the secure refuge founded by the LORD Himself. The answer to every political threat is not military posture but the LORD’s establishment of His city and His people.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Restoration Promise: The LORD Will Again Choose Israel</w:t>
            </w:r>
          </w:p>
        </w:tc>
      </w:tr>
      <w:tr>
        <w:tc>
          <w:tcPr/>
          <w:p>
            <w:pPr>
              <w:pStyle w:val="Compact"/>
            </w:pPr>
            <w:r>
              <w:t xml:space="preserve">2</w:t>
            </w:r>
          </w:p>
        </w:tc>
        <w:tc>
          <w:tcPr/>
          <w:p>
            <w:pPr>
              <w:pStyle w:val="Compact"/>
            </w:pPr>
            <w:r>
              <w:t xml:space="preserve">3–23</w:t>
            </w:r>
          </w:p>
        </w:tc>
        <w:tc>
          <w:tcPr/>
          <w:p>
            <w:pPr>
              <w:pStyle w:val="Compact"/>
            </w:pPr>
            <w:r>
              <w:t xml:space="preserve">The Taunt-Song Against the King of Babylon</w:t>
            </w:r>
          </w:p>
        </w:tc>
      </w:tr>
      <w:tr>
        <w:tc>
          <w:tcPr/>
          <w:p>
            <w:pPr>
              <w:pStyle w:val="Compact"/>
            </w:pPr>
            <w:r>
              <w:t xml:space="preserve">2a</w:t>
            </w:r>
          </w:p>
        </w:tc>
        <w:tc>
          <w:tcPr/>
          <w:p>
            <w:pPr>
              <w:pStyle w:val="Compact"/>
            </w:pPr>
            <w:r>
              <w:t xml:space="preserve">3–6</w:t>
            </w:r>
          </w:p>
        </w:tc>
        <w:tc>
          <w:tcPr/>
          <w:p>
            <w:pPr>
              <w:pStyle w:val="Compact"/>
            </w:pPr>
            <w:r>
              <w:t xml:space="preserve">Introduction: The Taunt Is Given to Israel to Take Up</w:t>
            </w:r>
          </w:p>
        </w:tc>
      </w:tr>
      <w:tr>
        <w:tc>
          <w:tcPr/>
          <w:p>
            <w:pPr>
              <w:pStyle w:val="Compact"/>
            </w:pPr>
            <w:r>
              <w:t xml:space="preserve">2b</w:t>
            </w:r>
          </w:p>
        </w:tc>
        <w:tc>
          <w:tcPr/>
          <w:p>
            <w:pPr>
              <w:pStyle w:val="Compact"/>
            </w:pPr>
            <w:r>
              <w:t xml:space="preserve">7–11</w:t>
            </w:r>
          </w:p>
        </w:tc>
        <w:tc>
          <w:tcPr/>
          <w:p>
            <w:pPr>
              <w:pStyle w:val="Compact"/>
            </w:pPr>
            <w:r>
              <w:t xml:space="preserve">The Earth Rejoices;</w:t>
            </w:r>
            <w:r>
              <w:t xml:space="preserve"> </w:t>
            </w:r>
            <w:r>
              <w:rPr>
                <w:i/>
                <w:iCs/>
              </w:rPr>
              <w:t xml:space="preserve">Sheol</w:t>
            </w:r>
            <w:r>
              <w:t xml:space="preserve"> </w:t>
            </w:r>
            <w:r>
              <w:t xml:space="preserve">Stirs</w:t>
            </w:r>
          </w:p>
        </w:tc>
      </w:tr>
      <w:tr>
        <w:tc>
          <w:tcPr/>
          <w:p>
            <w:pPr>
              <w:pStyle w:val="Compact"/>
            </w:pPr>
            <w:r>
              <w:t xml:space="preserve">2c</w:t>
            </w:r>
          </w:p>
        </w:tc>
        <w:tc>
          <w:tcPr/>
          <w:p>
            <w:pPr>
              <w:pStyle w:val="Compact"/>
            </w:pPr>
            <w:r>
              <w:t xml:space="preserve">12–15</w:t>
            </w:r>
          </w:p>
        </w:tc>
        <w:tc>
          <w:tcPr/>
          <w:p>
            <w:pPr>
              <w:pStyle w:val="Compact"/>
            </w:pPr>
            <w:r>
              <w:t xml:space="preserve">The Five-Fold Ascent and the Total Descent</w:t>
            </w:r>
          </w:p>
        </w:tc>
      </w:tr>
      <w:tr>
        <w:tc>
          <w:tcPr/>
          <w:p>
            <w:pPr>
              <w:pStyle w:val="Compact"/>
            </w:pPr>
            <w:r>
              <w:t xml:space="preserve">2d</w:t>
            </w:r>
          </w:p>
        </w:tc>
        <w:tc>
          <w:tcPr/>
          <w:p>
            <w:pPr>
              <w:pStyle w:val="Compact"/>
            </w:pPr>
            <w:r>
              <w:t xml:space="preserve">16–20</w:t>
            </w:r>
          </w:p>
        </w:tc>
        <w:tc>
          <w:tcPr/>
          <w:p>
            <w:pPr>
              <w:pStyle w:val="Compact"/>
            </w:pPr>
            <w:r>
              <w:t xml:space="preserve">Bewilderment at the Fallen King; Denial of Burial</w:t>
            </w:r>
          </w:p>
        </w:tc>
      </w:tr>
      <w:tr>
        <w:tc>
          <w:tcPr/>
          <w:p>
            <w:pPr>
              <w:pStyle w:val="Compact"/>
            </w:pPr>
            <w:r>
              <w:t xml:space="preserve">2e</w:t>
            </w:r>
          </w:p>
        </w:tc>
        <w:tc>
          <w:tcPr/>
          <w:p>
            <w:pPr>
              <w:pStyle w:val="Compact"/>
            </w:pPr>
            <w:r>
              <w:t xml:space="preserve">21–23</w:t>
            </w:r>
          </w:p>
        </w:tc>
        <w:tc>
          <w:tcPr/>
          <w:p>
            <w:pPr>
              <w:pStyle w:val="Compact"/>
            </w:pPr>
            <w:r>
              <w:t xml:space="preserve">The LORD’s Final Decree Against Babylon’s Dynasty</w:t>
            </w:r>
          </w:p>
        </w:tc>
      </w:tr>
      <w:tr>
        <w:tc>
          <w:tcPr/>
          <w:p>
            <w:pPr>
              <w:pStyle w:val="Compact"/>
            </w:pPr>
            <w:r>
              <w:t xml:space="preserve">3</w:t>
            </w:r>
          </w:p>
        </w:tc>
        <w:tc>
          <w:tcPr/>
          <w:p>
            <w:pPr>
              <w:pStyle w:val="Compact"/>
            </w:pPr>
            <w:r>
              <w:t xml:space="preserve">24–27</w:t>
            </w:r>
          </w:p>
        </w:tc>
        <w:tc>
          <w:tcPr/>
          <w:p>
            <w:pPr>
              <w:pStyle w:val="Compact"/>
            </w:pPr>
            <w:r>
              <w:t xml:space="preserve">The Oracle Against Assyria: The LORD’s Purpose Stands</w:t>
            </w:r>
          </w:p>
        </w:tc>
      </w:tr>
      <w:tr>
        <w:tc>
          <w:tcPr/>
          <w:p>
            <w:pPr>
              <w:pStyle w:val="Compact"/>
            </w:pPr>
            <w:r>
              <w:t xml:space="preserve">4</w:t>
            </w:r>
          </w:p>
        </w:tc>
        <w:tc>
          <w:tcPr/>
          <w:p>
            <w:pPr>
              <w:pStyle w:val="Compact"/>
            </w:pPr>
            <w:r>
              <w:t xml:space="preserve">28–32</w:t>
            </w:r>
          </w:p>
        </w:tc>
        <w:tc>
          <w:tcPr/>
          <w:p>
            <w:pPr>
              <w:pStyle w:val="Compact"/>
            </w:pPr>
            <w:r>
              <w:t xml:space="preserve">The Oracle Against Philistia: Zion as the Only Refuge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sovereignty unmasks and destroys every power that exalts itself against Him and His people.</w:t>
      </w:r>
    </w:p>
    <w:p>
      <w:pPr>
        <w:pStyle w:val="BodyText"/>
      </w:pPr>
      <w:r>
        <w:rPr>
          <w:b/>
          <w:bCs/>
        </w:rPr>
        <w:t xml:space="preserve">Primary Claim:</w:t>
      </w:r>
      <w:r>
        <w:t xml:space="preserve"> </w:t>
      </w:r>
      <w:r>
        <w:t xml:space="preserve">God is assuring His people — and confronting every form of self-exalting pride — that the creature who attempts to seize the place of God will be brought low without exception, and that the LORD’s purposes for His people cannot be thwarted by any empire, ideology, or power. The appropriate response is not fear of the nations but settled trust in the God who holds history’s end in His hands.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powers that intimidate you — see them as God sees them.</w:t>
      </w:r>
      <w:r>
        <w:t xml:space="preserve"> </w:t>
      </w:r>
      <w:r>
        <w:rPr>
          <w:i/>
          <w:iCs/>
        </w:rPr>
        <w:t xml:space="preserve">(Mind/belief)</w:t>
      </w:r>
      <w:r>
        <w:t xml:space="preserve"> </w:t>
      </w:r>
      <w:r>
        <w:t xml:space="preserve">The taunt-song functions, literarily, as a pair of corrective lenses. The empire that Israel feared looked, from within history, like an impregnable force. The LORD hands Israel the taunt-song as the instrument by which to see Babylon correctly: a dead man in an unmarked grave, greeted with sarcasm in</w:t>
      </w:r>
      <w:r>
        <w:t xml:space="preserve"> </w:t>
      </w:r>
      <w:r>
        <w:rPr>
          <w:i/>
          <w:iCs/>
        </w:rPr>
        <w:t xml:space="preserve">Sheol</w:t>
      </w:r>
      <w:r>
        <w:t xml:space="preserve">, maggots for his bed. The application is not contempt for political power — it is the recalibration of what is ultimate. The powers that intimidate you right now — whether political, cultural, institutional, or personal — are not ultimate. They are creatures. They are mortal. They are answerable. Stop sizing yourself against them and start sizing them against the LORD of hosts.</w:t>
      </w:r>
    </w:p>
    <w:p>
      <w:pPr>
        <w:pStyle w:val="BodyText"/>
      </w:pPr>
      <w:r>
        <w:rPr>
          <w:b/>
          <w:bCs/>
        </w:rPr>
        <w:t xml:space="preserve">2. Recognize the pattern of your own pride before you recognize it in Babylon.</w:t>
      </w:r>
      <w:r>
        <w:t xml:space="preserve"> </w:t>
      </w:r>
      <w:r>
        <w:rPr>
          <w:i/>
          <w:iCs/>
        </w:rPr>
        <w:t xml:space="preserve">(Affections/worship)</w:t>
      </w:r>
      <w:r>
        <w:t xml:space="preserve"> </w:t>
      </w:r>
      <w:r>
        <w:t xml:space="preserve">The five</w:t>
      </w:r>
      <w:r>
        <w:t xml:space="preserve"> </w:t>
      </w:r>
      <w:r>
        <w:t xml:space="preserve">“I will”</w:t>
      </w:r>
      <w:r>
        <w:t xml:space="preserve"> </w:t>
      </w:r>
      <w:r>
        <w:t xml:space="preserve">statements in verses 13–14 are not uniquely Babylonian. They are the grammar of the human heart in its fallen default: I will ascend; I will exalt myself; I will be like God. This is not just the king’s sin — it is the deep logic of every act of self-assertion that refuses to receive life as gift, every refusal to occupy the creature’s position with gratitude. Isaiah 14 should produce in us not primarily outrage at Babylon but grief over the Babylon-logic in our own hearts: the instinct to be the author of our own significance, to place ourselves at the center, to play God in our own story. Let this passage be a mirror before it becomes a window.</w:t>
      </w:r>
    </w:p>
    <w:p>
      <w:pPr>
        <w:pStyle w:val="BodyText"/>
      </w:pPr>
      <w:r>
        <w:rPr>
          <w:b/>
          <w:bCs/>
        </w:rPr>
        <w:t xml:space="preserve">3. Rest in the God whose purposes cannot be annulled.</w:t>
      </w:r>
      <w:r>
        <w:t xml:space="preserve"> </w:t>
      </w:r>
      <w:r>
        <w:rPr>
          <w:i/>
          <w:iCs/>
        </w:rPr>
        <w:t xml:space="preserve">(Affections/worship)</w:t>
      </w:r>
      <w:r>
        <w:t xml:space="preserve"> </w:t>
      </w:r>
      <w:r>
        <w:t xml:space="preserve">Verse 27 is the chapter’s doxological spine:</w:t>
      </w:r>
      <w:r>
        <w:t xml:space="preserve"> </w:t>
      </w:r>
      <w:r>
        <w:t xml:space="preserve">“For the LORD of hosts has purposed, and who will annul it? His hand is stretched out, and who will turn it back?”</w:t>
      </w:r>
      <w:r>
        <w:t xml:space="preserve"> </w:t>
      </w:r>
      <w:r>
        <w:t xml:space="preserve">This is not a rhetorical question inviting argument — it is a declaration of the ground beneath all of history. The same sovereign purpose that planned the destruction of Assyria and Babylon plans the completion of His purposes for you. The enemies arrayed against the church, the apparent setbacks of the kingdom, the powers that seem to be winning in any given cultural moment — none of them can annul what the LORD of hosts has purposed. His hand is stretched out. Rest in that.</w:t>
      </w:r>
    </w:p>
    <w:p>
      <w:pPr>
        <w:pStyle w:val="BodyText"/>
      </w:pPr>
      <w:r>
        <w:rPr>
          <w:b/>
          <w:bCs/>
        </w:rPr>
        <w:t xml:space="preserve">4. Do not take refuge in anything but Zion.</w:t>
      </w:r>
      <w:r>
        <w:t xml:space="preserve"> </w:t>
      </w:r>
      <w:r>
        <w:rPr>
          <w:i/>
          <w:iCs/>
        </w:rPr>
        <w:t xml:space="preserve">(Will/behavior)</w:t>
      </w:r>
      <w:r>
        <w:t xml:space="preserve"> </w:t>
      </w:r>
      <w:r>
        <w:t xml:space="preserve">The final verse of the chapter is structurally climactic: the answer to every political threat, every messenger from hostile nations, is</w:t>
      </w:r>
      <w:r>
        <w:t xml:space="preserve"> </w:t>
      </w:r>
      <w:r>
        <w:t xml:space="preserve">“the LORD has founded Zion, and in her the afflicted of His people find refuge.”</w:t>
      </w:r>
      <w:r>
        <w:t xml:space="preserve"> </w:t>
      </w:r>
      <w:r>
        <w:t xml:space="preserve">Philistia’s error was seeking security in political advantage — the death of an oppressive king seemed like good news, an opportunity to be seized. But the only refuge that holds is the one the LORD Himself has founded. Concretely: audit where you are actually seeking security. If the answer is a political party, a financial position, a cultural majority, a favorable Supreme Court, a strong military — you are making Philistia’s mistake. The afflicted of His people find refuge in Zion — not in anything they have arranged for themselves.</w:t>
      </w:r>
    </w:p>
    <w:p>
      <w:pPr>
        <w:pStyle w:val="BodyText"/>
      </w:pPr>
      <w:r>
        <w:rPr>
          <w:b/>
          <w:bCs/>
        </w:rPr>
        <w:t xml:space="preserve">5. Proclaim the taunt-song — this is the church’s commission.</w:t>
      </w:r>
      <w:r>
        <w:t xml:space="preserve"> </w:t>
      </w:r>
      <w:r>
        <w:rPr>
          <w:i/>
          <w:iCs/>
        </w:rPr>
        <w:t xml:space="preserve">(Will/behavior)</w:t>
      </w:r>
      <w:r>
        <w:t xml:space="preserve"> </w:t>
      </w:r>
      <w:r>
        <w:t xml:space="preserve">The taunt-song is given to Israel to</w:t>
      </w:r>
      <w:r>
        <w:t xml:space="preserve"> </w:t>
      </w:r>
      <w:r>
        <w:rPr>
          <w:i/>
          <w:iCs/>
        </w:rPr>
        <w:t xml:space="preserve">take up</w:t>
      </w:r>
      <w:r>
        <w:t xml:space="preserve"> </w:t>
      </w:r>
      <w:r>
        <w:t xml:space="preserve">(v. 4). It is not a private consolation; it is a proclamation. The church’s calling is to announce, in a world that fears the Babylons of every age, that those powers are already under God’s sentence. This is not triumphalism — it is eschatological clarity. The proclamation of the gospel is the contemporary form of the taunt-song: the announcement that the powers of sin, death, and accusation have been defeated at the cross, that the one who descended into the grave has risen, and that every self-exalting power will ultimately bow. Preach this with confidence, not as wishful thinking, but as the word of the LORD of hosts who has purposed what no one can annul.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14 makes one of Scripture’s most comprehensive statements about the sovereignty of God over human history and political power. The LORD of hosts is not a tribal deity watching nervously as the empires do what they will — He is the one who planned Assyria’s destruction and announces it in advance (vv. 24–27), who decrees the end of Babylon’s dynasty and backs it with His own oath (vv. 22–23). Equally important is what the chapter teaches about the nature of sin at its root: the five</w:t>
      </w:r>
      <w:r>
        <w:t xml:space="preserve"> </w:t>
      </w:r>
      <w:r>
        <w:t xml:space="preserve">“I will”</w:t>
      </w:r>
      <w:r>
        <w:t xml:space="preserve"> </w:t>
      </w:r>
      <w:r>
        <w:t xml:space="preserve">statements in verses 13–14 expose creaturely pride not as a behavioral failure but as an ontological rebellion — the creature’s attempt to occupy the Creator’s position. This is the theological diagnosis beneath every act of oppression, every imperial ambition, every idolatry. The chapter also teaches the LORD’s characteristic pattern of reversal: the exalted are brought low; the afflicted find refuge; the one who destroyed cities becomes a corpse that cannot be buried. This is not an arbitrary reversal but the proper ordering of reality reasserting itself when the creature’s usurpation is undone.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14 is a foundational text for the Reformed understanding of God’s absolute sovereignty over history — what the Westminster Confession calls God’s</w:t>
      </w:r>
      <w:r>
        <w:t xml:space="preserve"> </w:t>
      </w:r>
      <w:r>
        <w:t xml:space="preserve">“most holy, most free, most absolute”</w:t>
      </w:r>
      <w:r>
        <w:t xml:space="preserve"> </w:t>
      </w:r>
      <w:r>
        <w:t xml:space="preserve">dominion over all His creatures and actions. The declaration of verse 27 — that the LORD’s purpose cannot be annulled and His hand cannot be turned back — is not simply a prediction about Babylon; it is a disclosure of the character of divine governance that undergirds all of history. The gospel operates within exactly this structure: Christ’s work at the cross was not contingent on human response but was the outworking of the Father’s eternal purpose (Acts 2:23; 4:27–28 echo this precise structure). The chapter also illuminates the Reformed doctrine of total depravity at its depth: the Babylonian king’s sin is not primarily external wickedness but the inward aspiration to divinity — the Adamic pattern replicated at imperial scale. Salvation, therefore, cannot be the product of human ascent (the creature making themselves like God) but must be the fruit of divine descent — God coming down to where the maggots are, bearing the curse of the unburied, to bring the afflicted to the refuge of Zion. The chapter is implicitly Christological in precisely this way: the King who was denied burial for our sake (Isaiah 53:9 must be read against Isaiah 14:18–20) is the one through whom all Babylon-logic is finally and definitively defeated.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empire, ideology, and power that sets itself against God and His people is already, from the LORD’s vantage point, a corpse awaiting burial — and the purposes of the LORD of hosts cannot be annulled by any of them. Stop living in fear of Babylon. The LORD has founded Zion. That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w:t>
      </w:r>
      <w:r>
        <w:rPr>
          <w:b/>
          <w:bCs/>
        </w:rPr>
        <w:t xml:space="preserve"> </w:t>
      </w:r>
      <w:r>
        <w:rPr>
          <w:b/>
          <w:bCs/>
        </w:rPr>
        <w:t xml:space="preserve">“Lucifer”</w:t>
      </w:r>
      <w:r>
        <w:rPr>
          <w:b/>
          <w:bCs/>
        </w:rPr>
        <w:t xml:space="preserve"> </w:t>
      </w:r>
      <w:r>
        <w:rPr>
          <w:b/>
          <w:bCs/>
        </w:rPr>
        <w:t xml:space="preserve">identification as the main point.</w:t>
      </w:r>
      <w:r>
        <w:t xml:space="preserve"> </w:t>
      </w:r>
      <w:r>
        <w:t xml:space="preserve">The Helel ben Shachar stanza is magnetic — centuries of tradition have attached Satan’s fall to these verses, and congregations often bring that assumption into the room. The danger is that the entire chapter becomes a platform for discussing Satan’s origin story, which the text does not address, while the actual subject — the king of Babylon, the anatomy of creaturely pride, and the LORD’s sovereignty over history — goes untreated. Acknowledge the tradition, adjudicate it honestly (qualified, not refuted), and redirect to the text’s own subject. The passage is more convicting, more comforting, and more theologically rich on its actual terms than on the Satanic detour.</w:t>
      </w:r>
    </w:p>
    <w:p>
      <w:pPr>
        <w:numPr>
          <w:ilvl w:val="0"/>
          <w:numId w:val="1002"/>
        </w:numPr>
      </w:pPr>
      <w:r>
        <w:rPr>
          <w:b/>
          <w:bCs/>
        </w:rPr>
        <w:t xml:space="preserve">Moralistic application of the pride theme.</w:t>
      </w:r>
      <w:r>
        <w:t xml:space="preserve"> </w:t>
      </w:r>
      <w:r>
        <w:t xml:space="preserve">The five</w:t>
      </w:r>
      <w:r>
        <w:t xml:space="preserve"> </w:t>
      </w:r>
      <w:r>
        <w:t xml:space="preserve">“I will”</w:t>
      </w:r>
      <w:r>
        <w:t xml:space="preserve"> </w:t>
      </w:r>
      <w:r>
        <w:t xml:space="preserve">statements in verses 13–14 are ripe for a sermon on</w:t>
      </w:r>
      <w:r>
        <w:t xml:space="preserve"> </w:t>
      </w:r>
      <w:r>
        <w:t xml:space="preserve">“the dangers of pride”</w:t>
      </w:r>
      <w:r>
        <w:t xml:space="preserve"> </w:t>
      </w:r>
      <w:r>
        <w:t xml:space="preserve">that ends in self-improvement instructions:</w:t>
      </w:r>
      <w:r>
        <w:t xml:space="preserve"> </w:t>
      </w:r>
      <w:r>
        <w:t xml:space="preserve">“Check your motives,”</w:t>
      </w:r>
      <w:r>
        <w:t xml:space="preserve"> </w:t>
      </w:r>
      <w:r>
        <w:t xml:space="preserve">“Stay humble,”</w:t>
      </w:r>
      <w:r>
        <w:t xml:space="preserve"> </w:t>
      </w:r>
      <w:r>
        <w:t xml:space="preserve">“Don’t overreach.”</w:t>
      </w:r>
      <w:r>
        <w:t xml:space="preserve"> </w:t>
      </w:r>
      <w:r>
        <w:t xml:space="preserve">This is not wrong but it is insufficient. The text is not primarily a character lesson — it is a theological unmasking of the creature’s deepest rebellion against the Creator. Application must move from</w:t>
      </w:r>
      <w:r>
        <w:t xml:space="preserve"> </w:t>
      </w:r>
      <w:r>
        <w:t xml:space="preserve">“don’t be like Babylon”</w:t>
      </w:r>
      <w:r>
        <w:t xml:space="preserve"> </w:t>
      </w:r>
      <w:r>
        <w:t xml:space="preserve">to</w:t>
      </w:r>
      <w:r>
        <w:t xml:space="preserve"> </w:t>
      </w:r>
      <w:r>
        <w:t xml:space="preserve">“recognize the Babylon-logic in your own heart, confess it, and receive the mercy of the God who descends to where you are.”</w:t>
      </w:r>
      <w:r>
        <w:t xml:space="preserve"> </w:t>
      </w:r>
      <w:r>
        <w:t xml:space="preserve">Anti-moralism principle: the passage calls for repentance and trust, not self-reformation.</w:t>
      </w:r>
    </w:p>
    <w:p>
      <w:pPr>
        <w:numPr>
          <w:ilvl w:val="0"/>
          <w:numId w:val="1002"/>
        </w:numPr>
      </w:pPr>
      <w:r>
        <w:rPr>
          <w:b/>
          <w:bCs/>
        </w:rPr>
        <w:t xml:space="preserve">Preaching the taunt-song as political triumphalism.</w:t>
      </w:r>
      <w:r>
        <w:t xml:space="preserve"> </w:t>
      </w:r>
      <w:r>
        <w:t xml:space="preserve">Isaiah 14 is frequently co-opted for narratives in which</w:t>
      </w:r>
      <w:r>
        <w:t xml:space="preserve"> </w:t>
      </w:r>
      <w:r>
        <w:t xml:space="preserve">“our side”</w:t>
      </w:r>
      <w:r>
        <w:t xml:space="preserve"> </w:t>
      </w:r>
      <w:r>
        <w:t xml:space="preserve">is Israel and</w:t>
      </w:r>
      <w:r>
        <w:t xml:space="preserve"> </w:t>
      </w:r>
      <w:r>
        <w:t xml:space="preserve">“the enemy”</w:t>
      </w:r>
      <w:r>
        <w:t xml:space="preserve"> </w:t>
      </w:r>
      <w:r>
        <w:t xml:space="preserve">is Babylon — whether the enemy is a political party, a foreign power, a cultural movement, or an institutional rival. The passage does not authorize that. The LORD’s judgment falls on every form of Helel-pride, including pride within the covenant community. The warning is universal before it is directional. Preach the taunt-song as an eschatological announcement, not a partisan endorsement.</w:t>
      </w:r>
    </w:p>
    <w:p>
      <w:pPr>
        <w:numPr>
          <w:ilvl w:val="0"/>
          <w:numId w:val="1002"/>
        </w:numPr>
      </w:pPr>
      <w:r>
        <w:rPr>
          <w:b/>
          <w:bCs/>
        </w:rPr>
        <w:t xml:space="preserve">Disconnecting the closing oracle (vv. 28–32) from the chapter’s argument.</w:t>
      </w:r>
      <w:r>
        <w:t xml:space="preserve"> </w:t>
      </w:r>
      <w:r>
        <w:t xml:space="preserve">The Philistia oracle is easily dismissed as a separate, secondary unit tacked onto the chapter. In fact, verse 32’s final word —</w:t>
      </w:r>
      <w:r>
        <w:t xml:space="preserve"> </w:t>
      </w:r>
      <w:r>
        <w:t xml:space="preserve">“the LORD has founded Zion, and in her the afflicted of His people find refuge”</w:t>
      </w:r>
      <w:r>
        <w:t xml:space="preserve"> </w:t>
      </w:r>
      <w:r>
        <w:t xml:space="preserve">— is the chapter’s ultimate landing point. The whole movement, from the restoration promise in verses 1–2 to the unmasking of Babylonian pride to the Assyria oracle’s climax in verse 27 to the Philistia warning, ends here: the only ground of true security is the city that the LORD Himself has founded. Preach to this conclusion, not to the middle of the chapter.</w:t>
      </w:r>
    </w:p>
    <w:p>
      <w:pPr>
        <w:numPr>
          <w:ilvl w:val="0"/>
          <w:numId w:val="1002"/>
        </w:numPr>
      </w:pPr>
      <w:r>
        <w:rPr>
          <w:b/>
          <w:bCs/>
        </w:rPr>
        <w:t xml:space="preserve">Failing to distinguish the taunt-song’s literary form and its theological force.</w:t>
      </w:r>
      <w:r>
        <w:t xml:space="preserve"> </w:t>
      </w:r>
      <w:r>
        <w:t xml:space="preserve">The</w:t>
      </w:r>
      <w:r>
        <w:t xml:space="preserve"> </w:t>
      </w:r>
      <w:r>
        <w:rPr>
          <w:i/>
          <w:iCs/>
        </w:rPr>
        <w:t xml:space="preserve">māšāl</w:t>
      </w:r>
      <w:r>
        <w:t xml:space="preserve"> </w:t>
      </w:r>
      <w:r>
        <w:t xml:space="preserve">is not a prediction in the ordinary propositional sense — it is a performance. To take up the taunt-song is to participate in the theological reality it declares. Preaching that treats it only as information (</w:t>
      </w:r>
      <w:r>
        <w:t xml:space="preserve">“this is what will happen to Babylon”</w:t>
      </w:r>
      <w:r>
        <w:t xml:space="preserve">) misses that God gave Israel this oracle as an instrument of faith — you receive it, you take it up, you speak it. The sermon’s application should invite the congregation not merely to believe a doctrine about God’s sovereignty but to</w:t>
      </w:r>
      <w:r>
        <w:t xml:space="preserve"> </w:t>
      </w:r>
      <w:r>
        <w:rPr>
          <w:i/>
          <w:iCs/>
        </w:rPr>
        <w:t xml:space="preserve">take up</w:t>
      </w:r>
      <w:r>
        <w:t xml:space="preserve"> </w:t>
      </w:r>
      <w:r>
        <w:t xml:space="preserve">the taunt-song — to live and speak from the confident perspective that the LORD has already pronounced the verdict on every anti-God power.</w:t>
      </w:r>
    </w:p>
    <w:p>
      <w:pPr>
        <w:numPr>
          <w:ilvl w:val="0"/>
          <w:numId w:val="1002"/>
        </w:numPr>
      </w:pPr>
      <w:r>
        <w:rPr>
          <w:b/>
          <w:bCs/>
        </w:rPr>
        <w:t xml:space="preserve">Under-reading the chapter’s Christological resonance.</w:t>
      </w:r>
      <w:r>
        <w:t xml:space="preserve"> </w:t>
      </w:r>
      <w:r>
        <w:t xml:space="preserve">The Reformed theological significance section notes the implicit Christological structure: the one who was denied burial (cf. the king in vv. 18–20, ironically reversed in Isaiah 53:9 and then again in the resurrection), who descended to where the afflicted are, who bears the judgment of creaturely pride in order to defeat it. Preaching that stays at the historical-predictive level and never moves to the typological-Christological level will be accurate but incomplete. The chapter is fully intelligible at its own historical level; it becomes luminous when read in light of Christ’s descent and ascent, which is the final, definitive defeat of every Helel-bid for divine status.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2026-07-14T21:05:32Z</dcterms:created>
  <dcterms:modified xsi:type="dcterms:W3CDTF">2026-07-14T21:05:32Z</dcterms:modified>
</cp:coreProperties>
</file>

<file path=docProps/custom.xml><?xml version="1.0" encoding="utf-8"?>
<Properties xmlns="http://schemas.openxmlformats.org/officeDocument/2006/custom-properties" xmlns:vt="http://schemas.openxmlformats.org/officeDocument/2006/docPropsVTypes"/>
</file>